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sz w:val="26"/>
          <w:szCs w:val="26"/>
        </w:rPr>
        <w:t>731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мая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привлекаемого к административной ответственности лица -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женатого, имеющего на иждивении троих несовершеннолетних детей,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Зиёев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>
        <w:rPr>
          <w:rStyle w:val="cat-CarNumbergrp-26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подъезд к п.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возвратом на ранее занимаемую полосу движения, за исключением случаев, предусмотренных ч.3 ст. 12.15 КоАП РФ, 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Зиёев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Зиёев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содеянном раскаивался, пояснил, что имеет на иждивении троих несовершеннолетних детей, двое из которых малолетние, детей нужно отвозить в детский сад, в связи с чем,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административный штраф.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Линия горизонтальной разметки 1.1 Приложения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694932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проектом организации дорожного движения на автомобильной дороге общего пользования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участке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автодороги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практики и другими материалами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Зиёев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главе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 Постановления вс</w:t>
      </w:r>
      <w:r>
        <w:rPr>
          <w:rFonts w:ascii="Times New Roman" w:eastAsia="Times New Roman" w:hAnsi="Times New Roman" w:cs="Times New Roman"/>
          <w:sz w:val="26"/>
          <w:szCs w:val="26"/>
        </w:rPr>
        <w:t>тупили в законную силу. Штрафы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</w:t>
      </w:r>
      <w:r>
        <w:rPr>
          <w:rFonts w:ascii="Times New Roman" w:eastAsia="Times New Roman" w:hAnsi="Times New Roman" w:cs="Times New Roman"/>
          <w:sz w:val="26"/>
          <w:szCs w:val="26"/>
        </w:rPr>
        <w:t>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руководствуется ст. 1.7.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Зиёев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имущественного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Зиёев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Зиёева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Наврузджона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628000), УИН: </w:t>
      </w:r>
      <w:r>
        <w:rPr>
          <w:rFonts w:ascii="Times New Roman" w:eastAsia="Times New Roman" w:hAnsi="Times New Roman" w:cs="Times New Roman"/>
          <w:sz w:val="26"/>
          <w:szCs w:val="26"/>
        </w:rPr>
        <w:t>18810486250740005277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CarNumbergrp-26rplc-20">
    <w:name w:val="cat-CarNumber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